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Perenyi's 脱钙液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组织切片过程中，一些组织内含有骨质或钙化灶时，含钙的组织不宜直接用石蜡包埋切片。这是因为钙和石蜡之间的密度不同，较难切出完整的切片。对含钙组织最好固定之后，再进行脱钙或二者同时进行。然后进行下游操作如脱水、透明、浸蜡、包埋、切片。用于脱钙的试剂很多，脱钙剂包括有机酸、无机酸、乙二胺四乙酸(EDTA)以及电解法脱钙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Perenyi's 脱钙液是一种相对较好的温和脱钙剂，固定后对细胞核和细胞浆细微结构着色好，脱钙后无需碱性溶液中和及冲洗。但脱钙速度较慢，不能用化学方法确定脱钙终点。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2400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59264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both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RC20406</w:t>
            </w:r>
          </w:p>
          <w:bookmarkEnd w:id="0"/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Perenyi's 脱钙液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500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 xml:space="preserve">ml 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47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 份</w:t>
            </w:r>
          </w:p>
        </w:tc>
      </w:tr>
    </w:tbl>
    <w:p>
      <w:pPr>
        <w:ind w:firstLine="440" w:firstLineChars="200"/>
        <w:jc w:val="both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自备材料：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 PBS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 蒸馏水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 加热装置或微波炉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1、骨组织脱钙时，取材不易过厚，一般大约 5mm。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2、组织固定后，用 PBS 清洗 3 次，每次 20min。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3、组织用蒸馏水洗清洗 3 次，每次 20min。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4、组织转移至 15~20 倍体积的 Perenyi's 脱钙液中，脱钙 3～10 天或更长时间。如果想加快脱钙速度，可以置于 37℃进行脱钙。如果必要，更换新的脱钙液继续脱钙，多数组织脱钙 1～4 周即可，每周更换一次，直至终点。亦可采用微波快速脱钙法：微波炉设在 200W 左右的档位，每次加热 5min，依据组织厚度和密度重复 3～5min，中间间隔 3～5min。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5、(可选)用蒸馏水冲洗数次。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6、常规脱水、包埋。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 厚度 5mm 的骨组织块脱钙时间一般脱钙 3~10 天即可。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 本试剂具有强酸腐蚀性，请小心操作。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 适当加温能加快脱钙的速度，一般不应超过 37～40℃，温度过高容易使骨组织造成松散解体。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 脱钙应彻底，防止脱钙不足或过度。脱钙程度应控制在不影响组织切片的同时尽量缩短脱钙时间，以免脱钙过长引起组织损害。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 脱钙用具避免使用金属容器，尽量使用玻璃容器。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 骨组织脱钙应先固定后脱钙或脱钙固定同时进行，不应先脱钙后固定，以便减少组织的损伤程度。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 每隔一段时间检测一次脱钙程度，脱钙过度会增加组织的损伤程度，影响染色结果。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 为了您的安全和健康，请穿实验服并戴一次性手套操作。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有效期：</w:t>
      </w:r>
      <w:r>
        <w:rPr>
          <w:rFonts w:hint="eastAsia" w:ascii="宋体" w:hAnsi="宋体" w:eastAsia="宋体" w:cs="宋体"/>
          <w:sz w:val="24"/>
          <w:szCs w:val="24"/>
        </w:rPr>
        <w:t xml:space="preserve">  12 个月有效。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附录：</w:t>
      </w:r>
    </w:p>
    <w:p>
      <w:pPr>
        <w:rPr>
          <w:rFonts w:hint="default" w:ascii="宋体" w:hAnsi="宋体" w:eastAsia="宋体" w:cs="宋体"/>
          <w:sz w:val="24"/>
          <w:szCs w:val="24"/>
          <w:lang w:val="zh-CN" w:eastAsia="zh-CN"/>
        </w:rPr>
      </w:pPr>
      <w:r>
        <w:rPr>
          <w:rFonts w:hint="default" w:ascii="宋体" w:hAnsi="宋体" w:eastAsia="宋体" w:cs="宋体"/>
          <w:sz w:val="24"/>
          <w:szCs w:val="24"/>
          <w:lang w:val="zh-CN" w:eastAsia="zh-CN"/>
        </w:rPr>
        <w:t>脱钙终点的测定(物理法)：采用针刺、手掐、钳夹等方法，当骨组织变软或针刺时没有阻力感即可终止脱钙。物理检测法会对组织结构有一定的损害，尽量避免用力过大或反复检测。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3F3E24AF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EDD30D6"/>
    <w:rsid w:val="5F0500D7"/>
    <w:rsid w:val="5FE10FB9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2021-01-26T02:55:39Z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2052-11.1.0.10314</vt:lpwstr>
  </property>
</Properties>
</file>